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0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№ 8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680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680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680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680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680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68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28.01.2026 № 22-НПА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1.8-2026-ПО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«Выполнение работ по оценке соответствия лифтов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требованиям технического регламента Таможенного союза 011/2011 «Безопасность лифтов» (ТР ТС 011/2011), утвержденного решением Комиссии Таможенного союза от 18 октября 2011 г. № 824 «О принятии технического регламента Таможенного союза «Безопасность лифтов»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Новосибирск, 2026 г.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РКПО) – министерство жилищно-коммунального хозяйства и энергетики Новосибирской области.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  <w:tab/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991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97"/>
        <w:gridCol w:w="4117"/>
        <w:gridCol w:w="5097"/>
      </w:tblGrid>
      <w:tr>
        <w:tblPrEx/>
        <w:trPr>
          <w:trHeight w:val="887"/>
        </w:trPr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pStyle w:val="680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4" w:type="dxa"/>
            <w:vAlign w:val="center"/>
            <w:textDirection w:val="lrTb"/>
            <w:noWrap w:val="false"/>
          </w:tcPr>
          <w:p>
            <w:pPr>
              <w:pStyle w:val="680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1. Сведения об органе по ведению РКПО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887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mingkh@nso.ru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585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 (383) 238-76-53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87"/>
        </w:trPr>
        <w:tc>
          <w:tcPr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Выполнение работ по оценке соответствия лифтов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требованиям технического регламента Таможенного союза 011/2011 «Безопасность лифтов» (ТР ТС 011/2011), утвержденного решением Комиссии Таможенного союза от 18 октября 2011 г. № 824 «О принятии технического регламента Таможенного союза «Безопасность лифтов»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1.8-2026-ПО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208"/>
        </w:trPr>
        <w:tc>
          <w:tcPr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87"/>
        </w:trPr>
        <w:tc>
          <w:tcPr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87"/>
        </w:trPr>
        <w:tc>
          <w:tcPr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89"/>
        </w:trPr>
        <w:tc>
          <w:tcPr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02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89"/>
        </w:trPr>
        <w:tc>
          <w:tcPr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25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06"/>
        </w:trPr>
        <w:tc>
          <w:tcPr>
            <w:tcW w:w="697" w:type="dxa"/>
            <w:textDirection w:val="lrTb"/>
            <w:noWrap w:val="false"/>
          </w:tcPr>
          <w:p>
            <w:pPr>
              <w:pStyle w:val="680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680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680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11 марта 2026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68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</w:p>
    <w:p>
      <w:pPr>
        <w:pStyle w:val="68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numPr>
          <w:ilvl w:val="0"/>
          <w:numId w:val="0"/>
        </w:numPr>
        <w:jc w:val="center"/>
        <w:spacing w:before="120"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3213"/>
        <w:gridCol w:w="6285"/>
      </w:tblGrid>
      <w:tr>
        <w:tblPrEx/>
        <w:trPr>
          <w:trHeight w:val="458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680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3" w:type="dxa"/>
            <w:textDirection w:val="lrTb"/>
            <w:noWrap w:val="false"/>
          </w:tcPr>
          <w:p>
            <w:pPr>
              <w:pStyle w:val="680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680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3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3" w:type="dxa"/>
            <w:textDirection w:val="lrTb"/>
            <w:noWrap w:val="false"/>
          </w:tcPr>
          <w:p>
            <w:pPr>
              <w:pStyle w:val="68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Требования к оказанию услуг и (или) выполнению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vAlign w:val="center"/>
            <w:textDirection w:val="lrTb"/>
            <w:noWrap w:val="false"/>
          </w:tcPr>
          <w:p>
            <w:pPr>
              <w:pStyle w:val="680"/>
              <w:ind w:right="-1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Выполнение работ по оценке соответствия лифтов требованиям технического регламента Таможенного союза 011/2011 «Безопасность лифтов» (ТР ТС 011/2011), утвержденного решением Комиссии Таможенного союза от 18 октябр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я 2011 года № 824 «О принятии технического регламента Таможенного союза «Безопасность лифтов» (далее – оказание услуг и (или) выполнение работ) должно осуществляться в соответствии с действующими на территории Российской Федерации нормативными документами: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ind w:right="-1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Технический регламент Таможенного союза 011/2011 «Безопасность лифтов» (ТР ТС 011/2011).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ind w:right="-1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Услуги и (или) работы должны удовлетворять требованиям строительных, экологических, санитарно-гигиенических, противопожарных и других норм, действующих на территории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cyan"/>
                <w:lang w:eastAsia="ru-RU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3" w:type="dxa"/>
            <w:textDirection w:val="lrTb"/>
            <w:noWrap w:val="false"/>
          </w:tcPr>
          <w:p>
            <w:pPr>
              <w:pStyle w:val="68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Требование к календарному плану оказания услуг и (или) выполнения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5" w:type="dxa"/>
            <w:vAlign w:val="center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Выполнение работ должно осуществляться в соответствии с прилагаемым к договору графиком оказания услуг и (или) выполнения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680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</w:r>
      <w:r>
        <w:rPr>
          <w:rFonts w:ascii="Times New Roman" w:hAnsi="Times New Roman" w:eastAsia="Calibri" w:cs="Times New Roman"/>
          <w:bCs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строительного подряда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"/>
        <w:gridCol w:w="2411"/>
        <w:gridCol w:w="7088"/>
      </w:tblGrid>
      <w:tr>
        <w:tblPrEx/>
        <w:trPr>
          <w:tblHeader/>
        </w:trPr>
        <w:tc>
          <w:tcPr>
            <w:shd w:val="clear" w:color="auto" w:fill="f2f2f2"/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2411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7088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2411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7088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2596"/>
        </w:trPr>
        <w:tc>
          <w:tcPr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 договора строительного подряда (далее – договор)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Arial"/>
                <w:sz w:val="24"/>
                <w:szCs w:val="24"/>
                <w:lang w:val="ru-RU" w:eastAsia="en-US" w:bidi="ar-SA"/>
              </w:rPr>
              <w:t xml:space="preserve">Предметом договора является выполнение работ по оценке соответствия лифтов тре</w:t>
            </w:r>
            <w:r>
              <w:rPr>
                <w:rFonts w:ascii="Times New Roman" w:hAnsi="Times New Roman" w:eastAsia="Calibri" w:cs="Arial"/>
                <w:sz w:val="24"/>
                <w:szCs w:val="24"/>
                <w:lang w:val="ru-RU" w:eastAsia="en-US" w:bidi="ar-SA"/>
              </w:rPr>
              <w:t xml:space="preserve">бованиям технического регламента Таможенного союза 011/2011 «Безопасность лифтов» (ТР ТС 011/2011), утвержденного решением Комиссии Таможенного союза от 18 октября 2011 года № 824 «О принятии технического регламента Таможенного союза «Безопасность лифтов».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Arial"/>
                <w:sz w:val="24"/>
                <w:szCs w:val="24"/>
                <w:lang w:val="ru-RU" w:eastAsia="en-US" w:bidi="ar-SA"/>
              </w:rPr>
              <w:t xml:space="preserve">Выполнение работ будет осуществляться в отношении объектов, указанных в адресном перечне, размещенном на сайте в информационно-коммуникационной сети «Интернет» </w:t>
            </w:r>
            <w:hyperlink r:id="rId14" w:tooltip="http://www.mjkh.nso.ru/page/724." w:history="1">
              <w:r>
                <w:rPr>
                  <w:rStyle w:val="713"/>
                  <w:rFonts w:ascii="Times New Roman" w:hAnsi="Times New Roman" w:eastAsia="Calibri" w:cs="Arial"/>
                  <w:sz w:val="24"/>
                  <w:szCs w:val="24"/>
                  <w:lang w:val="ru-RU" w:eastAsia="en-US" w:bidi="ar-SA"/>
                </w:rPr>
                <w:t xml:space="preserve">http://www.mjkh.nso.ru/page/724.</w:t>
              </w:r>
            </w:hyperlink>
            <w:r>
              <w:rPr>
                <w:rFonts w:ascii="Times New Roman" w:hAnsi="Times New Roman" w:eastAsia="Calibri" w:cs="Arial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highlight w:val="white"/>
                <w:lang w:val="ru-RU" w:eastAsia="en-US" w:bidi="ar-SA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3101"/>
        </w:trPr>
        <w:tc>
          <w:tcPr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680"/>
              <w:contextualSpacing/>
              <w:jc w:val="both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Цена договора может быть увеличена по соглашению сторон в ходе его исполнения, но не более чем на 15 процентов в связи с пропорциональным увеличением объема выполнения работ.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contextualSpacing/>
              <w:jc w:val="both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Цена договора может быть снижена по соглашению сторон при уменьшении предусмотренных Договором строительного подряда объемов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contextualSpacing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Изменение стоимости и объемов работ производится на основании решения общего собрания собственников помещений в многоквартирном доме при соблюдении положений, установленных частью 5 статьи 189 Жилищного кодекса Российской Федерации.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Порядок и сроки приемки выполненных работ устанавливаются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Для проверки соответствия качества и объемов выполненных работ, установленных договором, Заказчик вправе привлекать независимых экспертов.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устанавливается Заказчиком в документации о проведении электронного аукциона в пределах Новосибирской области.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Обеспечение исполнения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Исполнение обязательств по договору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независимой гарантией, выданной в соответствии с требованиями, предусмотренными </w:t>
            </w:r>
            <w:hyperlink r:id="rId15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eastAsia="Calibri" w:cs="Times New Roman"/>
                  <w:sz w:val="24"/>
                  <w:szCs w:val="24"/>
                  <w:lang w:val="ru-RU" w:eastAsia="en-US" w:bidi="ar-SA"/>
                </w:rPr>
                <w:t xml:space="preserve">частью 1 статьи 45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Способ обеспечения исполнения обязательств по договору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Размер обеспечения исполнения договора указывается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Размер обеспечения исполнения договора не может превышать 30 (тридцать) процентов начальной (максимальной) цены 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5. Обеспечение исполнения договора может быть установлено в размере, превышающем в 2 раза размер обеспечения его исполнения, указанный в документации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 проведении электронного аукциона, в случае, если при проведении электронного аукциона участником закупки, с которым заключается договор, предложена цена, которая на 20 и более процентов ниже начальной (максимальной) цены договора. Участник закупки также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обязан дополнительно представить Заказчику обоснован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6. Независимая гарантия оформляется в письменной форме на бумажном носителе или в форме электронного документа, подписанного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усиленной квалифицированной электронной подписью лица, имеющего право действовать от имени организации, выдавшей независимую гарантию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требован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и (или) в случае расторжения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срок действия независимой гарантии должен превышать срок оказания услуг и (или) выполнения работ по договору 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680"/>
              <w:ind w:left="34"/>
              <w:jc w:val="left"/>
              <w:spacing w:before="0" w:after="0" w:line="240" w:lineRule="auto"/>
              <w:widowControl w:val="off"/>
              <w:tabs>
                <w:tab w:val="left" w:pos="34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 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8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 Срок предоставления гарантий на оказанные услуги и (или) выполненные работы не может быть менее 5 лет со дня подписания соответствующего акта о приемке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7"/>
        </w:trPr>
        <w:tc>
          <w:tcPr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Ответственность Заказчика и подрядной организации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Условия договора, предусматривающие ответственность сторон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за неисполнение или ненадлежащее исполнение обязательств по такому договору, определяются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Договор заключается 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аказчиком в соответствии с Гражданским кодексом Российской Федерации и 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оквартирных домах, подрядных организаций для оказания услуг и (или) выполнения работ по капитальному ремонту общего имуществ в многоквартирном доме, утвержденном постановлением Правительства Российской Федерации от 1 июля 2016 г. № 615 (далее – Положение).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80"/>
              <w:ind w:left="3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Порядок заключения договора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93"/>
        </w:trPr>
        <w:tc>
          <w:tcPr>
            <w:tcW w:w="56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1.Предмет договора, место проведения работ, сроки выполнения работ, продолжительность этапов выполнения работ, виды работ не могут изменяться в ходе его исполнения, за исключением случаев, предусмотренных Положением.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2.При исполнении договора о выполнении работ не допускается 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еремена подрядной организации, за исключением случаев, если новая подрядная организация является правопреемником подрядной организации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 Расторжение договора допускается: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а) по соглашению сторон;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б) по инициативе Заказчика, в том числе в виде одностороннего отказа от договора (основания такого расторжения устанавливаются в документации о проведении электронного аукциона);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в) по решению суда по основаниям, предусмотренным законодательством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 Заказчик осуществляет расторжение договора в одностороннем порядке, в следующих случаях: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а) систематическое (2 раза и более) нарушение подрядной организацией сроков выполнения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б) задержка подрядной организацией начала выполнения работ более чем на 10 (десять) календарных дней по причинам, не зависящим от заказчика или собственников помещений в многоквартирном доме;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в) неоднократное (2 раза и более в течение одного календарного месяца) несоблюдение (отступление от требов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аний, предусмотренных договором о выполнении работ,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работ и (или) технологии проведения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соответствии с условиями договора о проведении капитального ремонта;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д) нарушение подрядной организацией сроков оказания услуг и (или) выполнения работ продолжительностью более 30 (тридцати) календарных дней по любому из многоквартирных домов;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е) нарушение срока замены независимой гарантии, установленного договором, при отзыве лицензии, банкротстве или ликвидации гаранта более чем на 2 рабочих дня;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ж) выявление Заказчиком после заключени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я договора о выполнении работ факта недействительности представленной подрядной организацией независимой гарантии (представление поддельных документов, получение от гаранта опровержения выдачи независимой гарантии подрядной организации в письменной форме);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680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з) неисполнение обязательства о продлении срока независимой гарантии при измен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ении сроков оказания услуг и (или) выполнения работ в связи с изменением по соглашению сторон сроков оказания услуг и (или) выполнения работ либо при нарушении подрядной организацией предусмотренных договором сроков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680"/>
        <w:ind w:left="108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ind w:left="108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проведении предварительного отбора по предмету последующего электронного аукциона «Выполнение работ по оценке соответствия лифтов требованиям технического регламента Таможенного союза 011/2011 «Безопаснос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ть лифтов» (ТР ТС 011/2011), утвержденного решением Комиссии Таможенного союза от 18 октября 2011 г. № 824 «О принятии технического регламента Таможенного союза «Безопасность лифтов» устанавливаются следующие требования к его участникам (далее – Участник):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наличие у Участника аттестата аккредитации, выданного федеральным органом исполнительной власти, осуществляющим функции по формированию единой национальной системы аккредитаци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и и осуществлению контроля за деятельностью аккредитованных лиц, с приложением, определяющим область аккредитации, которая позволяет выполнять работы, связанные с проверками, испытаниями, измерениями при проведении обследования лифтов в соответствии с треб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ованиями технического регламента Таможенного союза 011/2011 «Безопасность лифтов» (ТР ТС 011/2011), утвержденного решением Комиссии Таможенного союза от 18 октября 2011 года № 824 «О принятии технического регламента Таможенного союза «Безопасность лифтов»;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отсутствие у Участника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отсутствие у Участника за 3 года, предшествующие дате окончани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я срока подачи заявок на участие в предварительном отборе, контракта или договора, в том числе заключенного в соответствии с Положением, по строительству, реконструкции и (или) капитальному ремонту объектов капитального строительства, относящихся к той же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группе услуг и (или)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неприостановление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 отсутствие конфликта интересов, то есть случаев, при которых руководитель Заказчика, член комиссии по проведению предварительного отбора, комиссии по осуществлению закупок, должн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либо являются близкими родственниками (родственниками по прямой восходящей и нисходящей линии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(родителями и детьми, дедушкой, бабушкой и внуками), полнородными и неполнородными (имеющими общих отца или мать) братьями или сестрами), усыновителями указанных физических лиц или усыновленными ими. Под выгодоприобретателями понимаются физические лица, вл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адеющие напрямую или косвенно (через юридическое лицо или через несколько юридических лиц) более чем 10 (десятью) процентами голосующих акций хозяйственного общества либо долей, превышающей 10 (десять) процентов в уставном капитале хозяйственного общества;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неприменение в отношении Участника – физического лица либо руководителя, членов коллеги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ального исполнительного органа или главного бухгалтера Участника –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отсутствие сведений об Участнике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отсутствие сведений об Участнике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невозможность для Участника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л) наличие в штате участника предварительного отбора работников, соответст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вующих установленным пунктом 1 части 6 статьи 55.5 Градостроительного кодекса Российской Федерации квалификационным требованиям, в количестве не ниже количества, установленного пунктом 2 части 6 статьи 55.5 Градостроительного кодекса Российской Федерации; 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м) наличие у Участника за 3 года, предшествующие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менее чем по 3 исполненным контрактам и (или) договорам, предметом которых </w:t>
      </w:r>
      <w:r>
        <w:rPr>
          <w:rFonts w:ascii="Times New Roman" w:hAnsi="Times New Roman" w:eastAsia="Calibri" w:cs="Times New Roman"/>
          <w:sz w:val="24"/>
          <w:szCs w:val="24"/>
        </w:rPr>
        <w:t xml:space="preserve">являлись строительство, реконструкция, капитальный ремонт зданий, являющихся объектами капитального строительства, ремонт (замена) лифтового оборудования, разработка проектной документации, в том числе по договорам, заключенным в соответствии с Положением.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680"/>
        <w:ind w:firstLine="709"/>
        <w:jc w:val="both"/>
        <w:spacing w:before="0" w:after="0" w:line="240" w:lineRule="auto"/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н) отсутствие в отношении участника предварительного отбора решения об исключении подрядной организации из реестра квалифицированны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х подрядных организаций в случае установления одного из фактов, указанных в подпунктах "з" - "к" пункта 66 настоящего Положения, в течение года до даты рассмотрения заявок на участие в предварительном отборе комиссией по проведению предварительного отбора.</w:t>
      </w:r>
      <w:r/>
    </w:p>
    <w:p>
      <w:pPr>
        <w:pStyle w:val="680"/>
        <w:ind w:firstLine="0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108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Участник должен подготовить Заявку по форме Приложения № 1 к Документации о проведении предварительного отбора, которая должна содержать полное наименование, сведения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ивидуальных предпринимателей или засвидетельствованная в нотариальном порядке копия такой выписки, полученная не ранее чем за 30 календарных дней до даты подачи Заявки,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копии учредительных документов Участника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копия засвидетельствованного в нотариальном порядке перевода на русский язык документо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документ, подтверждающий полномочия лица на осуществление действий от имени Участника;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копия аттестата аккредитации, выданного федеральным органом исполнительной власти, осуществляющим функции по формированию единой национальной системы аккредитации и осуществлению контроля за дея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тельностью аккредитованных лиц, с приложением, определяющим область аккредитации, которая позволяет выполнять работы, связанные с проверками, испытаниями, измерениями при проведении обследования лифтов в соответствии с требованиями технического регламента;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 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ки на участие в предварительном отборе, по форме, утвержденной уполномоченным органом, с отметкой 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копия штатного расписания;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копии трудовых книжек и (или) сведения о трудовой деяте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льности, предусмотренные статьей 66.1 Трудового кодекса Российской Федерации, копии дипломов, сертификатов, аттестатов и удостоверений, подтверждающих наличие у участника предварительного отбора в штате минимального количества квалифицированного персонала;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копии не менее 3 исполненных контрактов и (или) договоров, подтверждающих наличие у Участника предусмотренного подпунктом «п»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пункта 23 Положения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рекомендуется представить по форме, установленной в Приложении № 2 к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л)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 (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рекомендуется представить по форме, установленной в Приложении № 3 к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680"/>
        <w:ind w:left="36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Регистрация на электронной площадке, а также участие в предварительном отборе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Участник, подавший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В случае установления факта подачи одним Участником 2 (двух) и более Заявок при условии, что поданные ранее Заявки не отозваны, все Заявки такого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Каждая Заявка, поступившая в установленные сроки, регистрируется оператором электронной площадки, с присвоением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Установленные дата и время окончания срока подачи Заявок могут быть продлены Органом по ведению РКПО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680"/>
        <w:ind w:left="36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680"/>
        <w:ind w:left="36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142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РКПО запрос о разъяснении Документации о проведении предварительного отбора (далее – Запрос).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left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до 17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февраля 2026 года.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В случае, если Запрос поступил в сроки, указанные в пункте 3 настоящего раздела, Орган по ведени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ю РКПО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В случае если Запрос поступил позднее даты, указанной в пункте 3 настоящего раздела, данный Запрос не рассматривается Органом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Запрос должен быть подписан, усиленной квалифицированной электронной подписью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680"/>
        <w:ind w:left="360"/>
        <w:jc w:val="center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numPr>
          <w:ilvl w:val="0"/>
          <w:numId w:val="4"/>
        </w:numPr>
        <w:ind w:left="142" w:hanging="360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680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РКПО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РКПО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быть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заинтересованные лица либо лица, на которых 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отбора, либ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нородными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РКПО.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numPr>
          <w:ilvl w:val="0"/>
          <w:numId w:val="2"/>
        </w:numPr>
        <w:contextualSpacing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680"/>
        <w:contextualSpacing/>
        <w:ind w:left="319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Комиссий Заявки направляется подавшему ее Участнику через сайт оператора электронной площадки, а также размещается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 в реестр квалифицированных подрядных организаций по иным основаниям, кроме случаев, указанных в пункте 2.7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РКПО в течение 2 (двух) рабочих дней с даты принятия решения, указанного в подпункте «а» пункта 2.6 настоящего раздела, включает информацию об Участнике в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680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680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невключении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РКПО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формация о принятом решении, указанном в пункте 3.1 и 3.2 настоящего раздела, размещается Органом по ведению РКПО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решения,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РКПО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адрес электр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онной площадки в сети «Интернет»,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4.4.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протоколе указывается предельный размер обязательств участника предварительного отбора по обязательствам по договорам подряда на подготовку проектной документации, по договорам строительного подряда,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16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0"/>
        <w:jc w:val="lef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0"/>
        <w:jc w:val="lef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680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  <w:tab/>
        <w:t xml:space="preserve">    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организаций)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numPr>
          <w:ilvl w:val="0"/>
          <w:numId w:val="1"/>
        </w:numPr>
        <w:ind w:left="0" w:firstLine="0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numPr>
          <w:ilvl w:val="0"/>
          <w:numId w:val="1"/>
        </w:numPr>
        <w:ind w:left="0" w:firstLine="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(указывается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850"/>
        <w:jc w:val="both"/>
        <w:spacing w:before="0" w:after="0" w:line="240" w:lineRule="auto"/>
        <w:tabs>
          <w:tab w:val="left" w:pos="284" w:leader="none"/>
          <w:tab w:val="clear" w:pos="708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Документации).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708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8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68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4567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1"/>
        <w:gridCol w:w="1849"/>
        <w:gridCol w:w="1955"/>
        <w:gridCol w:w="1956"/>
        <w:gridCol w:w="2826"/>
        <w:gridCol w:w="2593"/>
        <w:gridCol w:w="2786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Установленный срок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Первоначальная стоимость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и номер актов приемки выполненных работ по контракту и (или) договору или иных документов, подтверждающих приемку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Окончательная стоимость работ (согласно актам приемки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Наличие подтверждения приемки заказчиком работ по контракту и (или) договору,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pStyle w:val="68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68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headerReference w:type="default" r:id="rId10"/>
          <w:headerReference w:type="first" r:id="rId11"/>
          <w:footnotePr/>
          <w:endnotePr/>
          <w:type w:val="nextPage"/>
          <w:pgSz w:w="16838" w:h="11906" w:orient="landscape"/>
          <w:pgMar w:top="1418" w:right="1134" w:bottom="567" w:left="1134" w:header="0" w:footer="0" w:gutter="0"/>
          <w:cols w:num="1" w:sep="0" w:space="1701" w:equalWidth="1"/>
          <w:docGrid w:linePitch="360"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3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pStyle w:val="680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pStyle w:val="68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6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</w:p>
    <w:p>
      <w:pPr>
        <w:pStyle w:val="68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8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</w:p>
    <w:p>
      <w:pPr>
        <w:pStyle w:val="6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68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</w:p>
    <w:p>
      <w:pPr>
        <w:pStyle w:val="6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68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6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</w:t>
      </w:r>
      <w:r>
        <w:rPr>
          <w:rFonts w:ascii="Times New Roman" w:hAnsi="Times New Roman" w:eastAsia="Times New Roman" w:cs="Times New Roman"/>
        </w:rPr>
        <w:t xml:space="preserve">, информированное, сознательное и однозначное согласие на обработку своих персональных данных, указанных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6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6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квалифицированных подрядных организаций, имеющих право принимать участие в электронных аукционах, предметом которых является оказание услуг и (или) выполнени</w:t>
      </w:r>
      <w:r>
        <w:rPr>
          <w:rFonts w:ascii="Times New Roman" w:hAnsi="Times New Roman" w:eastAsia="Times New Roman" w:cs="Times New Roman"/>
        </w:rPr>
        <w:t xml:space="preserve">е работ по капитальному ремонту общего имущества многоквартирных домов (указать номер предварительного отбора) органу, уполномоченному на ведение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Новосибирск, ул. Фрунзе, 5, оф. 639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«О порядке привлечения подря</w:t>
      </w:r>
      <w:r>
        <w:rPr>
          <w:rFonts w:ascii="Times New Roman" w:hAnsi="Times New Roman" w:eastAsia="Times New Roman" w:cs="Times New Roman"/>
        </w:rPr>
        <w:t xml:space="preserve">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некоммерческой организации, осущ</w:t>
      </w:r>
      <w:r>
        <w:rPr>
          <w:rFonts w:ascii="Times New Roman" w:hAnsi="Times New Roman" w:eastAsia="Times New Roman" w:cs="Times New Roman"/>
        </w:rPr>
        <w:t xml:space="preserve">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направленную на обеспечение </w:t>
      </w:r>
      <w:r>
        <w:rPr>
          <w:rFonts w:ascii="Times New Roman" w:hAnsi="Times New Roman" w:eastAsia="Times New Roman" w:cs="Times New Roman"/>
        </w:rPr>
        <w:t xml:space="preserve">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капитальному ремонту общего иму</w:t>
      </w:r>
      <w:r>
        <w:rPr>
          <w:rFonts w:ascii="Times New Roman" w:hAnsi="Times New Roman" w:eastAsia="Times New Roman" w:cs="Times New Roman"/>
        </w:rPr>
        <w:t xml:space="preserve">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оборудования)» (далее - Положение). </w:t>
      </w:r>
      <w:r>
        <w:rPr>
          <w:rFonts w:ascii="Times New Roman" w:hAnsi="Times New Roman" w:cs="Times New Roman"/>
        </w:rPr>
      </w:r>
    </w:p>
    <w:p>
      <w:pPr>
        <w:pStyle w:val="680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дата рождения, номер основног</w:t>
      </w:r>
      <w:r>
        <w:rPr>
          <w:rFonts w:ascii="Times New Roman" w:hAnsi="Times New Roman" w:eastAsia="Times New Roman" w:cs="Times New Roman"/>
        </w:rPr>
        <w:t xml:space="preserve">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 о трудовой деятельности. </w:t>
      </w:r>
      <w:r>
        <w:rPr>
          <w:rFonts w:ascii="Times New Roman" w:hAnsi="Times New Roman" w:cs="Times New Roman"/>
        </w:rPr>
      </w:r>
    </w:p>
    <w:p>
      <w:pPr>
        <w:pStyle w:val="680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</w:t>
      </w:r>
      <w:r>
        <w:rPr>
          <w:rFonts w:ascii="Times New Roman" w:hAnsi="Times New Roman" w:eastAsia="Times New Roman" w:cs="Times New Roman"/>
        </w:rPr>
        <w:t xml:space="preserve">тизации обработку моих персональных данных, а именно: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</w:p>
    <w:p>
      <w:pPr>
        <w:pStyle w:val="680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</w:p>
    <w:p>
      <w:pPr>
        <w:pStyle w:val="680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</w:p>
    <w:p>
      <w:pPr>
        <w:pStyle w:val="680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</w:p>
    <w:p>
      <w:pPr>
        <w:pStyle w:val="680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</w:p>
    <w:p>
      <w:pPr>
        <w:pStyle w:val="680"/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данных: </w:t>
      </w:r>
      <w:r>
        <w:rPr>
          <w:rFonts w:ascii="Times New Roman" w:hAnsi="Times New Roman" w:cs="Times New Roman"/>
          <w:highlight w:val="none"/>
        </w:rPr>
      </w:r>
    </w:p>
    <w:p>
      <w:pPr>
        <w:pStyle w:val="680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80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hAnsi="Times New Roman" w:eastAsia="Times New Roman" w:cs="Times New Roman"/>
        </w:rPr>
        <w:t xml:space="preserve">«           »          20     г. </w:t>
      </w:r>
      <w:r>
        <w:rPr>
          <w:rFonts w:ascii="Times New Roman" w:hAnsi="Times New Roman" w:cs="Times New Roman"/>
          <w:highlight w:val="none"/>
        </w:rPr>
      </w:r>
    </w:p>
    <w:p>
      <w:pPr>
        <w:pStyle w:val="680"/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80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</w:p>
    <w:p>
      <w:pPr>
        <w:pStyle w:val="680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pStyle w:val="680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680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680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680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68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80"/>
      </w:pPr>
      <w:r/>
      <w:r/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pStyle w:val="680"/>
        <w:ind w:left="5812"/>
        <w:jc w:val="right"/>
        <w:spacing w:before="0"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sectPr>
      <w:headerReference w:type="default" r:id="rId12"/>
      <w:footnotePr/>
      <w:endnotePr/>
      <w:type w:val="nextPage"/>
      <w:pgSz w:w="11906" w:h="16838" w:orient="portrait"/>
      <w:pgMar w:top="1134" w:right="567" w:bottom="1134" w:left="1418" w:header="708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panose1 w:val="00000709000000000000"/>
  </w:font>
  <w:font w:name="Times New Roman">
    <w:panose1 w:val="02020603050405020304"/>
  </w:font>
  <w:font w:name="Microsoft YaHei">
    <w:panose1 w:val="020B0503020203020204"/>
  </w:font>
  <w:font w:name="Mangal">
    <w:panose1 w:val="0204050305040603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16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76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19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76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192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680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81">
    <w:name w:val="Heading 1"/>
    <w:basedOn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basedOn w:val="712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basedOn w:val="712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basedOn w:val="712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basedOn w:val="712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basedOn w:val="71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basedOn w:val="712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basedOn w:val="712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basedOn w:val="712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basedOn w:val="712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basedOn w:val="712"/>
    <w:uiPriority w:val="10"/>
    <w:qFormat/>
    <w:rPr>
      <w:sz w:val="48"/>
      <w:szCs w:val="48"/>
    </w:rPr>
  </w:style>
  <w:style w:type="character" w:styleId="700">
    <w:name w:val="Subtitle Char"/>
    <w:basedOn w:val="712"/>
    <w:uiPriority w:val="11"/>
    <w:qFormat/>
    <w:rPr>
      <w:sz w:val="24"/>
      <w:szCs w:val="24"/>
    </w:rPr>
  </w:style>
  <w:style w:type="character" w:styleId="701">
    <w:name w:val="Quote Char"/>
    <w:uiPriority w:val="29"/>
    <w:qFormat/>
    <w:rPr>
      <w:i/>
    </w:rPr>
  </w:style>
  <w:style w:type="character" w:styleId="702">
    <w:name w:val="Intense Quote Char"/>
    <w:uiPriority w:val="30"/>
    <w:qFormat/>
    <w:rPr>
      <w:i/>
    </w:rPr>
  </w:style>
  <w:style w:type="character" w:styleId="703">
    <w:name w:val="Header Char"/>
    <w:basedOn w:val="712"/>
    <w:uiPriority w:val="99"/>
    <w:qFormat/>
  </w:style>
  <w:style w:type="character" w:styleId="704">
    <w:name w:val="Footer Char"/>
    <w:basedOn w:val="712"/>
    <w:uiPriority w:val="99"/>
    <w:qFormat/>
  </w:style>
  <w:style w:type="character" w:styleId="705">
    <w:name w:val="Caption Char"/>
    <w:uiPriority w:val="99"/>
    <w:qFormat/>
  </w:style>
  <w:style w:type="character" w:styleId="706">
    <w:name w:val="Footnote Text Char"/>
    <w:uiPriority w:val="99"/>
    <w:qFormat/>
    <w:rPr>
      <w:sz w:val="18"/>
    </w:rPr>
  </w:style>
  <w:style w:type="character" w:styleId="707">
    <w:name w:val="Footnote Characters"/>
    <w:uiPriority w:val="99"/>
    <w:unhideWhenUsed/>
    <w:qFormat/>
    <w:rPr>
      <w:vertAlign w:val="superscript"/>
    </w:rPr>
  </w:style>
  <w:style w:type="character" w:styleId="708">
    <w:name w:val="footnote reference"/>
    <w:rPr>
      <w:vertAlign w:val="superscript"/>
    </w:rPr>
  </w:style>
  <w:style w:type="character" w:styleId="709">
    <w:name w:val="Endnote Text Char"/>
    <w:uiPriority w:val="99"/>
    <w:qFormat/>
    <w:rPr>
      <w:sz w:val="20"/>
    </w:rPr>
  </w:style>
  <w:style w:type="character" w:styleId="710">
    <w:name w:val="Endnote Characters"/>
    <w:uiPriority w:val="99"/>
    <w:semiHidden/>
    <w:unhideWhenUsed/>
    <w:qFormat/>
    <w:rPr>
      <w:vertAlign w:val="superscript"/>
    </w:rPr>
  </w:style>
  <w:style w:type="character" w:styleId="711">
    <w:name w:val="endnote reference"/>
    <w:rPr>
      <w:vertAlign w:val="superscript"/>
    </w:rPr>
  </w:style>
  <w:style w:type="character" w:styleId="712" w:default="1">
    <w:name w:val="Default Paragraph Font"/>
    <w:uiPriority w:val="1"/>
    <w:semiHidden/>
    <w:unhideWhenUsed/>
    <w:qFormat/>
  </w:style>
  <w:style w:type="character" w:styleId="713">
    <w:name w:val="Hyperlink"/>
    <w:basedOn w:val="712"/>
    <w:uiPriority w:val="99"/>
    <w:unhideWhenUsed/>
    <w:rPr>
      <w:color w:val="0563c1" w:themeColor="hyperlink"/>
      <w:u w:val="single"/>
    </w:rPr>
  </w:style>
  <w:style w:type="character" w:styleId="714" w:customStyle="1">
    <w:name w:val="Гипертекстовая ссылка"/>
    <w:basedOn w:val="712"/>
    <w:uiPriority w:val="99"/>
    <w:qFormat/>
    <w:rPr>
      <w:b/>
      <w:bCs/>
      <w:color w:val="106bbe"/>
    </w:rPr>
  </w:style>
  <w:style w:type="character" w:styleId="715">
    <w:name w:val="FollowedHyperlink"/>
    <w:basedOn w:val="712"/>
    <w:uiPriority w:val="99"/>
    <w:semiHidden/>
    <w:unhideWhenUsed/>
    <w:rPr>
      <w:color w:val="800080"/>
      <w:u w:val="single"/>
    </w:rPr>
  </w:style>
  <w:style w:type="character" w:styleId="716" w:customStyle="1">
    <w:name w:val="Верхний колонтитул Знак"/>
    <w:basedOn w:val="712"/>
    <w:uiPriority w:val="99"/>
    <w:qFormat/>
  </w:style>
  <w:style w:type="character" w:styleId="717" w:customStyle="1">
    <w:name w:val="Нижний колонтитул Знак"/>
    <w:basedOn w:val="712"/>
    <w:uiPriority w:val="99"/>
    <w:qFormat/>
  </w:style>
  <w:style w:type="character" w:styleId="718" w:customStyle="1">
    <w:name w:val="Текст выноски Знак"/>
    <w:basedOn w:val="712"/>
    <w:uiPriority w:val="99"/>
    <w:semiHidden/>
    <w:qFormat/>
    <w:rPr>
      <w:rFonts w:ascii="Tahoma" w:hAnsi="Tahoma" w:cs="Tahoma"/>
      <w:sz w:val="16"/>
      <w:szCs w:val="16"/>
    </w:rPr>
  </w:style>
  <w:style w:type="character" w:styleId="719" w:customStyle="1">
    <w:name w:val="Абзац списка Знак"/>
    <w:uiPriority w:val="34"/>
    <w:qFormat/>
  </w:style>
  <w:style w:type="paragraph" w:styleId="720">
    <w:name w:val="Heading"/>
    <w:basedOn w:val="680"/>
    <w:next w:val="721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21">
    <w:name w:val="Body Text"/>
    <w:basedOn w:val="680"/>
    <w:pPr>
      <w:spacing w:before="0" w:after="140" w:line="276" w:lineRule="auto"/>
    </w:pPr>
  </w:style>
  <w:style w:type="paragraph" w:styleId="722">
    <w:name w:val="List"/>
    <w:basedOn w:val="721"/>
    <w:rPr>
      <w:rFonts w:cs="Mangal"/>
    </w:rPr>
  </w:style>
  <w:style w:type="paragraph" w:styleId="723">
    <w:name w:val="Caption"/>
    <w:basedOn w:val="6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4">
    <w:name w:val="Index"/>
    <w:basedOn w:val="680"/>
    <w:qFormat/>
    <w:pPr>
      <w:suppressLineNumbers/>
    </w:pPr>
    <w:rPr>
      <w:rFonts w:cs="Mangal"/>
    </w:rPr>
  </w:style>
  <w:style w:type="paragraph" w:styleId="725">
    <w:name w:val="Title"/>
    <w:basedOn w:val="6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6">
    <w:name w:val="Subtitle"/>
    <w:basedOn w:val="680"/>
    <w:uiPriority w:val="11"/>
    <w:qFormat/>
    <w:pPr>
      <w:spacing w:before="200" w:after="200"/>
    </w:pPr>
    <w:rPr>
      <w:sz w:val="24"/>
      <w:szCs w:val="24"/>
    </w:rPr>
  </w:style>
  <w:style w:type="paragraph" w:styleId="727">
    <w:name w:val="Quote"/>
    <w:basedOn w:val="680"/>
    <w:uiPriority w:val="29"/>
    <w:qFormat/>
    <w:pPr>
      <w:ind w:left="720" w:right="720"/>
    </w:pPr>
    <w:rPr>
      <w:i/>
    </w:rPr>
  </w:style>
  <w:style w:type="paragraph" w:styleId="728">
    <w:name w:val="Intense Quote"/>
    <w:basedOn w:val="680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29">
    <w:name w:val="footnote text"/>
    <w:basedOn w:val="6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0">
    <w:name w:val="endnote text"/>
    <w:basedOn w:val="6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1">
    <w:name w:val="toc 1"/>
    <w:basedOn w:val="680"/>
    <w:uiPriority w:val="39"/>
    <w:unhideWhenUsed/>
    <w:pPr>
      <w:ind w:left="0" w:right="0" w:firstLine="0"/>
      <w:spacing w:before="0" w:after="57"/>
    </w:pPr>
  </w:style>
  <w:style w:type="paragraph" w:styleId="732">
    <w:name w:val="toc 2"/>
    <w:basedOn w:val="680"/>
    <w:uiPriority w:val="39"/>
    <w:unhideWhenUsed/>
    <w:pPr>
      <w:ind w:left="283" w:right="0" w:firstLine="0"/>
      <w:spacing w:before="0" w:after="57"/>
    </w:pPr>
  </w:style>
  <w:style w:type="paragraph" w:styleId="733">
    <w:name w:val="toc 3"/>
    <w:basedOn w:val="680"/>
    <w:uiPriority w:val="39"/>
    <w:unhideWhenUsed/>
    <w:pPr>
      <w:ind w:left="567" w:right="0" w:firstLine="0"/>
      <w:spacing w:before="0" w:after="57"/>
    </w:pPr>
  </w:style>
  <w:style w:type="paragraph" w:styleId="734">
    <w:name w:val="toc 4"/>
    <w:basedOn w:val="680"/>
    <w:uiPriority w:val="39"/>
    <w:unhideWhenUsed/>
    <w:pPr>
      <w:ind w:left="850" w:right="0" w:firstLine="0"/>
      <w:spacing w:before="0" w:after="57"/>
    </w:pPr>
  </w:style>
  <w:style w:type="paragraph" w:styleId="735">
    <w:name w:val="toc 5"/>
    <w:basedOn w:val="680"/>
    <w:uiPriority w:val="39"/>
    <w:unhideWhenUsed/>
    <w:pPr>
      <w:ind w:left="1134" w:right="0" w:firstLine="0"/>
      <w:spacing w:before="0" w:after="57"/>
    </w:pPr>
  </w:style>
  <w:style w:type="paragraph" w:styleId="736">
    <w:name w:val="toc 6"/>
    <w:basedOn w:val="680"/>
    <w:uiPriority w:val="39"/>
    <w:unhideWhenUsed/>
    <w:pPr>
      <w:ind w:left="1417" w:right="0" w:firstLine="0"/>
      <w:spacing w:before="0" w:after="57"/>
    </w:pPr>
  </w:style>
  <w:style w:type="paragraph" w:styleId="737">
    <w:name w:val="toc 7"/>
    <w:basedOn w:val="680"/>
    <w:uiPriority w:val="39"/>
    <w:unhideWhenUsed/>
    <w:pPr>
      <w:ind w:left="1701" w:right="0" w:firstLine="0"/>
      <w:spacing w:before="0" w:after="57"/>
    </w:pPr>
  </w:style>
  <w:style w:type="paragraph" w:styleId="738">
    <w:name w:val="toc 8"/>
    <w:basedOn w:val="680"/>
    <w:uiPriority w:val="39"/>
    <w:unhideWhenUsed/>
    <w:pPr>
      <w:ind w:left="1984" w:right="0" w:firstLine="0"/>
      <w:spacing w:before="0" w:after="57"/>
    </w:pPr>
  </w:style>
  <w:style w:type="paragraph" w:styleId="739">
    <w:name w:val="toc 9"/>
    <w:basedOn w:val="680"/>
    <w:uiPriority w:val="39"/>
    <w:unhideWhenUsed/>
    <w:pPr>
      <w:ind w:left="2268" w:right="0" w:firstLine="0"/>
      <w:spacing w:before="0" w:after="57"/>
    </w:pPr>
  </w:style>
  <w:style w:type="paragraph" w:styleId="740">
    <w:name w:val="Index Heading"/>
    <w:basedOn w:val="720"/>
  </w:style>
  <w:style w:type="paragraph" w:styleId="741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42">
    <w:name w:val="table of figures"/>
    <w:basedOn w:val="680"/>
    <w:uiPriority w:val="99"/>
    <w:unhideWhenUsed/>
    <w:pPr>
      <w:spacing w:before="0" w:after="0" w:afterAutospacing="0"/>
    </w:pPr>
  </w:style>
  <w:style w:type="paragraph" w:styleId="743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Arial" w:hAnsi="Arial" w:eastAsia="Times New Roman" w:cs="Arial" w:cstheme="minorBidi"/>
      <w:color w:val="auto"/>
      <w:sz w:val="24"/>
      <w:szCs w:val="24"/>
      <w:lang w:val="ru-RU" w:eastAsia="ru-RU" w:bidi="ar-SA"/>
    </w:rPr>
  </w:style>
  <w:style w:type="paragraph" w:styleId="744" w:customStyle="1">
    <w:name w:val="xl63"/>
    <w:basedOn w:val="680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45" w:customStyle="1">
    <w:name w:val="xl65"/>
    <w:basedOn w:val="680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46" w:customStyle="1">
    <w:name w:val="xl64"/>
    <w:basedOn w:val="680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47" w:customStyle="1">
    <w:name w:val="xl66"/>
    <w:basedOn w:val="680"/>
    <w:qFormat/>
    <w:pPr>
      <w:jc w:val="center"/>
      <w:spacing w:beforeAutospacing="1" w:afterAutospacing="1" w:line="240" w:lineRule="auto"/>
      <w:pBdr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48" w:customStyle="1">
    <w:name w:val="xl67"/>
    <w:basedOn w:val="680"/>
    <w:qFormat/>
    <w:pPr>
      <w:jc w:val="center"/>
      <w:spacing w:beforeAutospacing="1" w:afterAutospacing="1" w:line="240" w:lineRule="auto"/>
      <w:pBdr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49" w:customStyle="1">
    <w:name w:val="xl68"/>
    <w:basedOn w:val="680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50" w:customStyle="1">
    <w:name w:val="xl69"/>
    <w:basedOn w:val="68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51" w:customStyle="1">
    <w:name w:val="xl70"/>
    <w:basedOn w:val="68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52" w:customStyle="1">
    <w:name w:val="xl71"/>
    <w:basedOn w:val="680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53" w:customStyle="1">
    <w:name w:val="xl72"/>
    <w:basedOn w:val="680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54" w:customStyle="1">
    <w:name w:val="xl73"/>
    <w:basedOn w:val="68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55" w:customStyle="1">
    <w:name w:val="xl74"/>
    <w:basedOn w:val="68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56" w:customStyle="1">
    <w:name w:val="xl75"/>
    <w:basedOn w:val="68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57" w:customStyle="1">
    <w:name w:val="xl76"/>
    <w:basedOn w:val="68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58" w:customStyle="1">
    <w:name w:val="xl77"/>
    <w:basedOn w:val="68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759" w:customStyle="1">
    <w:name w:val="xl78"/>
    <w:basedOn w:val="680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760">
    <w:name w:val="List Paragraph"/>
    <w:basedOn w:val="680"/>
    <w:uiPriority w:val="34"/>
    <w:qFormat/>
    <w:pPr>
      <w:contextualSpacing/>
      <w:ind w:left="720"/>
      <w:spacing w:before="0" w:after="160"/>
    </w:pPr>
  </w:style>
  <w:style w:type="paragraph" w:styleId="761">
    <w:name w:val="Header and Footer"/>
    <w:basedOn w:val="680"/>
    <w:qFormat/>
  </w:style>
  <w:style w:type="paragraph" w:styleId="762">
    <w:name w:val="Header"/>
    <w:basedOn w:val="68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63">
    <w:name w:val="Footer"/>
    <w:basedOn w:val="68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64">
    <w:name w:val="Balloon Text"/>
    <w:basedOn w:val="680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numbering" w:styleId="765" w:default="1">
    <w:name w:val="No List"/>
    <w:uiPriority w:val="99"/>
    <w:semiHidden/>
    <w:unhideWhenUsed/>
    <w:qFormat/>
  </w:style>
  <w:style w:type="table" w:styleId="380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customXml" Target="../customXml/item1.xml" /><Relationship Id="rId14" Type="http://schemas.openxmlformats.org/officeDocument/2006/relationships/hyperlink" Target="http://www.mjkh.nso.ru/page/724." TargetMode="External"/><Relationship Id="rId15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16" Type="http://schemas.openxmlformats.org/officeDocument/2006/relationships/hyperlink" Target="consultantplus://offline/ref=A2283303C7D254AD7348380E740FF25A10E2ED22CEB7A37225481EC656EC239C45C4E1787FF2A849uEg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3E7FD-8070-4333-ADE0-82240C71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pc004</dc:creator>
  <dc:description/>
  <dc:language>ru-RU</dc:language>
  <cp:revision>75</cp:revision>
  <dcterms:created xsi:type="dcterms:W3CDTF">2021-11-15T02:28:00Z</dcterms:created>
  <dcterms:modified xsi:type="dcterms:W3CDTF">2026-01-28T06:41:04Z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